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Physics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http://www.sdphysics.com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https://www.sciencepg.com/journal/sdp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Physics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http://www.sdphysics.com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573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Physics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