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Life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http://www.sdlife.net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https://www.sciencepg.com/journal/sdl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Life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http://www.sdlife.net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574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Life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