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Mathematics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http://www.sdmath.org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https://www.sciencepg.com/journal/sdmath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Mathematics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http://www.sdmath.org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575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Mathematics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